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A8B" w:rsidRDefault="00D32A8B" w:rsidP="00D32A8B">
      <w:pPr>
        <w:spacing w:line="480" w:lineRule="auto"/>
        <w:jc w:val="center"/>
        <w:rPr>
          <w:b/>
        </w:rPr>
      </w:pPr>
    </w:p>
    <w:p w:rsidR="00D32A8B" w:rsidRDefault="00D32A8B" w:rsidP="00D32A8B">
      <w:pPr>
        <w:spacing w:line="480" w:lineRule="auto"/>
        <w:jc w:val="center"/>
        <w:rPr>
          <w:b/>
        </w:rPr>
      </w:pPr>
    </w:p>
    <w:p w:rsidR="00D32A8B" w:rsidRDefault="00D32A8B" w:rsidP="00D32A8B">
      <w:pPr>
        <w:spacing w:line="480" w:lineRule="auto"/>
        <w:jc w:val="center"/>
        <w:rPr>
          <w:b/>
        </w:rPr>
      </w:pPr>
    </w:p>
    <w:p w:rsidR="00D32A8B" w:rsidRPr="00D32A8B" w:rsidRDefault="00D32A8B" w:rsidP="00D32A8B">
      <w:pPr>
        <w:spacing w:line="480" w:lineRule="auto"/>
        <w:jc w:val="center"/>
        <w:rPr>
          <w:b/>
        </w:rPr>
      </w:pPr>
      <w:r w:rsidRPr="00D32A8B">
        <w:rPr>
          <w:b/>
        </w:rPr>
        <w:t xml:space="preserve">Down </w:t>
      </w:r>
      <w:r w:rsidR="00E82407" w:rsidRPr="00D32A8B">
        <w:rPr>
          <w:b/>
        </w:rPr>
        <w:t>syndrome</w:t>
      </w:r>
      <w:r w:rsidRPr="00D32A8B">
        <w:rPr>
          <w:b/>
        </w:rPr>
        <w:t xml:space="preserve"> (DS)</w:t>
      </w:r>
    </w:p>
    <w:p w:rsidR="00D32A8B" w:rsidRDefault="00D32A8B" w:rsidP="00D32A8B">
      <w:pPr>
        <w:spacing w:line="480" w:lineRule="auto"/>
        <w:jc w:val="center"/>
      </w:pPr>
    </w:p>
    <w:p w:rsidR="00D32A8B" w:rsidRDefault="00D32A8B" w:rsidP="00D32A8B">
      <w:pPr>
        <w:spacing w:line="480" w:lineRule="auto"/>
        <w:jc w:val="center"/>
      </w:pPr>
    </w:p>
    <w:p w:rsidR="005A4E57" w:rsidRDefault="005A4E57" w:rsidP="005A4E57">
      <w:pPr>
        <w:spacing w:line="480" w:lineRule="auto"/>
      </w:pPr>
    </w:p>
    <w:p w:rsidR="00D32A8B" w:rsidRPr="00D32A8B" w:rsidRDefault="00D32A8B" w:rsidP="005A4E57">
      <w:pPr>
        <w:spacing w:line="480" w:lineRule="auto"/>
        <w:jc w:val="center"/>
      </w:pPr>
      <w:r w:rsidRPr="00D32A8B">
        <w:t>Student’s Name</w:t>
      </w:r>
    </w:p>
    <w:p w:rsidR="00D32A8B" w:rsidRPr="00D32A8B" w:rsidRDefault="00D32A8B" w:rsidP="00D32A8B">
      <w:pPr>
        <w:spacing w:line="480" w:lineRule="auto"/>
        <w:jc w:val="center"/>
      </w:pPr>
      <w:r w:rsidRPr="00D32A8B">
        <w:t>Institution of Affiliation</w:t>
      </w:r>
    </w:p>
    <w:p w:rsidR="00D32A8B" w:rsidRPr="00D32A8B" w:rsidRDefault="00D32A8B" w:rsidP="00D32A8B">
      <w:pPr>
        <w:spacing w:line="480" w:lineRule="auto"/>
        <w:jc w:val="center"/>
      </w:pPr>
      <w:r w:rsidRPr="00D32A8B">
        <w:t>Professor</w:t>
      </w:r>
    </w:p>
    <w:p w:rsidR="00D32A8B" w:rsidRPr="00D32A8B" w:rsidRDefault="00D32A8B" w:rsidP="00D32A8B">
      <w:pPr>
        <w:spacing w:line="480" w:lineRule="auto"/>
        <w:jc w:val="center"/>
      </w:pPr>
      <w:r w:rsidRPr="00D32A8B">
        <w:t>Date</w:t>
      </w:r>
    </w:p>
    <w:p w:rsidR="00D32A8B" w:rsidRDefault="00D32A8B">
      <w:r>
        <w:br w:type="page"/>
      </w:r>
    </w:p>
    <w:p w:rsidR="00D32A8B" w:rsidRPr="005A4E57" w:rsidRDefault="00D32A8B" w:rsidP="00D32A8B">
      <w:pPr>
        <w:spacing w:line="480" w:lineRule="auto"/>
        <w:jc w:val="center"/>
        <w:rPr>
          <w:b/>
        </w:rPr>
      </w:pPr>
      <w:r w:rsidRPr="005A4E57">
        <w:rPr>
          <w:b/>
        </w:rPr>
        <w:lastRenderedPageBreak/>
        <w:t xml:space="preserve">Down </w:t>
      </w:r>
      <w:proofErr w:type="gramStart"/>
      <w:r w:rsidR="005A4E57" w:rsidRPr="005A4E57">
        <w:rPr>
          <w:b/>
        </w:rPr>
        <w:t>Syndrome</w:t>
      </w:r>
      <w:proofErr w:type="gramEnd"/>
      <w:r w:rsidR="005A4E57" w:rsidRPr="005A4E57">
        <w:rPr>
          <w:b/>
        </w:rPr>
        <w:t xml:space="preserve"> (</w:t>
      </w:r>
      <w:r w:rsidRPr="005A4E57">
        <w:rPr>
          <w:b/>
        </w:rPr>
        <w:t>DS</w:t>
      </w:r>
      <w:r w:rsidR="005A4E57" w:rsidRPr="005A4E57">
        <w:rPr>
          <w:b/>
        </w:rPr>
        <w:t>)</w:t>
      </w:r>
    </w:p>
    <w:p w:rsidR="00157195" w:rsidRPr="00D32A8B" w:rsidRDefault="00556ECC" w:rsidP="00D32A8B">
      <w:pPr>
        <w:spacing w:line="480" w:lineRule="auto"/>
        <w:ind w:firstLine="720"/>
      </w:pPr>
      <w:r w:rsidRPr="00D32A8B">
        <w:t xml:space="preserve">Downs syndrome is one of the most common congenital disorders that are encountered today. It is a disorder that is caused by </w:t>
      </w:r>
      <w:r w:rsidR="008C1D22" w:rsidRPr="00D32A8B">
        <w:t xml:space="preserve">a </w:t>
      </w:r>
      <w:r w:rsidRPr="00D32A8B">
        <w:t xml:space="preserve">genetic </w:t>
      </w:r>
      <w:r w:rsidR="004A4704" w:rsidRPr="00D32A8B">
        <w:t>defect that occurs</w:t>
      </w:r>
      <w:r w:rsidR="008C1D22" w:rsidRPr="00D32A8B">
        <w:t xml:space="preserve"> during the developmental process of the human gametes as </w:t>
      </w:r>
      <w:r w:rsidR="004A4704" w:rsidRPr="00D32A8B">
        <w:t xml:space="preserve">a </w:t>
      </w:r>
      <w:r w:rsidR="008C1D22" w:rsidRPr="00D32A8B">
        <w:t>result of meiotic nondisjunction</w:t>
      </w:r>
      <w:r w:rsidR="004A4704" w:rsidRPr="00D32A8B">
        <w:t xml:space="preserve"> (</w:t>
      </w:r>
      <w:r w:rsidR="00077FC8" w:rsidRPr="00D32A8B">
        <w:t>Chang et al., 2020</w:t>
      </w:r>
      <w:r w:rsidR="004A4704" w:rsidRPr="00D32A8B">
        <w:t>)</w:t>
      </w:r>
      <w:r w:rsidR="008C1D22" w:rsidRPr="00D32A8B">
        <w:t xml:space="preserve">. The genetic defect follows the failure of Chromosome 21 to separate and move in opposite sides of the cells as the sperm and mostly the ovum undergoes meiotic division in part of the phases in their development. The meiotic nondisjunction sees to it that the resultant gamete carries an extra copy of Chromosome 21and after fertilization, the resultant fetus will have three copies of the chromosome and hence the name Trisomy 21. </w:t>
      </w:r>
      <w:r w:rsidR="004A4704" w:rsidRPr="00D32A8B">
        <w:t xml:space="preserve">The third copy of Chromosome 21 does not necessarily have to be the whole of the Chromosome. In the likes of chromosomal translocation mutations that occur in the body, there is one, </w:t>
      </w:r>
      <w:proofErr w:type="spellStart"/>
      <w:r w:rsidR="004A4704" w:rsidRPr="00D32A8B">
        <w:t>Robertsonian</w:t>
      </w:r>
      <w:proofErr w:type="spellEnd"/>
      <w:r w:rsidR="004A4704" w:rsidRPr="00D32A8B">
        <w:t xml:space="preserve"> translocation that is more commonly associated with familial Down syndrome. The translocation occurs involving the long arm of Chromosome 21 that is </w:t>
      </w:r>
      <w:proofErr w:type="spellStart"/>
      <w:r w:rsidR="004A4704" w:rsidRPr="00D32A8B">
        <w:t>translocated</w:t>
      </w:r>
      <w:proofErr w:type="spellEnd"/>
      <w:r w:rsidR="004A4704" w:rsidRPr="00D32A8B">
        <w:t xml:space="preserve"> to either chromosome 14 or 21</w:t>
      </w:r>
      <w:r w:rsidR="00077FC8" w:rsidRPr="00D32A8B">
        <w:t xml:space="preserve"> (Chang et al., 2020)</w:t>
      </w:r>
      <w:r w:rsidR="004A4704" w:rsidRPr="00D32A8B">
        <w:t xml:space="preserve">. This translocation is non-reciprocal hence the resultant </w:t>
      </w:r>
      <w:r w:rsidR="00157195" w:rsidRPr="00D32A8B">
        <w:t xml:space="preserve">cell following fertilization will have three copies of the same chromosome 21 or three copies of certain gene locus found on chromosome 21 that is responsible for the development of the disorder. </w:t>
      </w:r>
      <w:r w:rsidR="008C1D22" w:rsidRPr="00D32A8B">
        <w:t xml:space="preserve">Thanks to the mapping out of the whole human genome and subsequently the Genome Wide-Associated studies, the gene loci that are responsible for some of the most debilitating </w:t>
      </w:r>
      <w:r w:rsidR="00BD0814" w:rsidRPr="00D32A8B">
        <w:t>genetic diseases have been identified and this has significantly helped in the understanding</w:t>
      </w:r>
      <w:r w:rsidR="004A4704" w:rsidRPr="00D32A8B">
        <w:t xml:space="preserve"> of how this chromosomal </w:t>
      </w:r>
      <w:r w:rsidR="001A4FEF" w:rsidRPr="00D32A8B">
        <w:t>genetic</w:t>
      </w:r>
      <w:r w:rsidR="004A4704" w:rsidRPr="00D32A8B">
        <w:t xml:space="preserve"> defect affects the physiology of the individual so that they end up depicting the many signs and symptoms of the disease. Down syndrome is characterized by many signs and symptoms that are more often present at birth. These include characteristic facial features, intellectual disabi</w:t>
      </w:r>
      <w:r w:rsidR="00157195" w:rsidRPr="00D32A8B">
        <w:t xml:space="preserve">lity and physical growth and developmental delays. Of interest for this genetic paper is how the tripling of the </w:t>
      </w:r>
      <w:r w:rsidR="00157195" w:rsidRPr="00D32A8B">
        <w:lastRenderedPageBreak/>
        <w:t>copy numbers of chromosome 21 leads to the occurrence of mild to moderate intellectual disability with a specific focus on what parts of the brain are most affected.</w:t>
      </w:r>
    </w:p>
    <w:p w:rsidR="00B13601" w:rsidRPr="00D32A8B" w:rsidRDefault="00157195" w:rsidP="00D32A8B">
      <w:pPr>
        <w:spacing w:line="480" w:lineRule="auto"/>
        <w:ind w:firstLine="720"/>
      </w:pPr>
      <w:r w:rsidRPr="00D32A8B">
        <w:t>The understanding of the specific regions of chromosome 21 that are associated with intellectual disability has been possible through the advent of research.  Chromosome 21 has been depicted as carrying up to 200 genes</w:t>
      </w:r>
      <w:r w:rsidR="00077FC8" w:rsidRPr="00D32A8B">
        <w:t xml:space="preserve"> (Chang et al., 2020)</w:t>
      </w:r>
      <w:r w:rsidRPr="00D32A8B">
        <w:t>. The tripling of these genes has been depicted as affecting learning, decision-making abilities and memory of the individuals with Down syndrome. The research that enabled the mapping out of the regions of the brain that are mostly af</w:t>
      </w:r>
      <w:r w:rsidR="00A735D6" w:rsidRPr="00D32A8B">
        <w:t>fected by the triple number copies of the genes spanning different loci on chromosome 21 involved the use of mice models which were genetically modified to carry an extra copy of one of the gene groups reciprocal to those on the human chromosome 21 which are found on the mouse chromosome 16, 10, and 17. The mice were subjected to a navigation test where they were expected to negotiate a simple “left-right” T-maze and each group of mice was evaluated for both memory and decision-making abilities. They had, during the test, electrical activities of brain regions important for memory and decision-making also monitored using an electroencephalogram (EEG) (</w:t>
      </w:r>
      <w:r w:rsidR="00077FC8" w:rsidRPr="00D32A8B">
        <w:t>Chang et al., 2020</w:t>
      </w:r>
      <w:r w:rsidR="00A735D6" w:rsidRPr="00D32A8B">
        <w:t xml:space="preserve">). </w:t>
      </w:r>
      <w:r w:rsidR="00763A02" w:rsidRPr="00D32A8B">
        <w:t xml:space="preserve">The mice that depicted worse memory had irregular brain </w:t>
      </w:r>
      <w:proofErr w:type="spellStart"/>
      <w:r w:rsidR="00763A02" w:rsidRPr="00D32A8B">
        <w:t>circuity</w:t>
      </w:r>
      <w:proofErr w:type="spellEnd"/>
      <w:r w:rsidR="00763A02" w:rsidRPr="00D32A8B">
        <w:t xml:space="preserve"> (signals) in the hippocampus, the brain region known to be specifically important for memory. Those that had the worse decision-making ability were depicted to have poor brain signaling between the hippocampus and the pre-frontal cortex which is often essential in planning and decision-making processes (</w:t>
      </w:r>
      <w:r w:rsidR="00077FC8" w:rsidRPr="00D32A8B">
        <w:t>Chang et al., 2020</w:t>
      </w:r>
      <w:r w:rsidR="00763A02" w:rsidRPr="00D32A8B">
        <w:t xml:space="preserve">). The conclusion from this study is that the different gene groups on chromosome 21 act completely differently with all genes groups working cumulatively to bring about the intellectual disabilities that are associated with Down syndrome.  This conclusion discredits the prior thesis that had been held by the scientific body where they had hypothesized that a single gene or single genes were the likely cause of </w:t>
      </w:r>
      <w:r w:rsidR="00763A02" w:rsidRPr="00D32A8B">
        <w:lastRenderedPageBreak/>
        <w:t>intellectual disabilities associated with</w:t>
      </w:r>
      <w:r w:rsidR="00B13601" w:rsidRPr="00D32A8B">
        <w:t xml:space="preserve"> Down syndrome. This study depicts the intellectual disability associated with Down syndrome as encompassing disabilities in learning, decision-making, and memory all that arise from the disturbances in the signaling pathways within the hippocampus and between it and the prefrontal cortex</w:t>
      </w:r>
      <w:r w:rsidR="00077FC8" w:rsidRPr="00D32A8B">
        <w:t xml:space="preserve"> (Chang et al., 2020)</w:t>
      </w:r>
      <w:r w:rsidR="00B13601" w:rsidRPr="00D32A8B">
        <w:t xml:space="preserve">. </w:t>
      </w:r>
    </w:p>
    <w:p w:rsidR="00B66A78" w:rsidRPr="00D32A8B" w:rsidRDefault="00B13601" w:rsidP="00D32A8B">
      <w:pPr>
        <w:spacing w:line="480" w:lineRule="auto"/>
        <w:ind w:firstLine="720"/>
      </w:pPr>
      <w:r w:rsidRPr="00D32A8B">
        <w:t>Given the deciphering of the root cause</w:t>
      </w:r>
      <w:r w:rsidR="00D1485C" w:rsidRPr="00D32A8B">
        <w:t xml:space="preserve"> and the nat</w:t>
      </w:r>
      <w:r w:rsidRPr="00D32A8B">
        <w:t xml:space="preserve">ure of intellectual disability </w:t>
      </w:r>
      <w:r w:rsidR="00D1485C" w:rsidRPr="00D32A8B">
        <w:t>that is associated with Down syndrome, there are numerous suggestion</w:t>
      </w:r>
      <w:r w:rsidR="00970D91" w:rsidRPr="00D32A8B">
        <w:t>s</w:t>
      </w:r>
      <w:r w:rsidR="00D1485C" w:rsidRPr="00D32A8B">
        <w:t xml:space="preserve"> that have been proposed as the main stream ways through which the outcomes for children with Down syndrome can be improved. These include structuring their care so that it</w:t>
      </w:r>
      <w:r w:rsidR="00970D91" w:rsidRPr="00D32A8B">
        <w:t xml:space="preserve"> is directed targeted at the</w:t>
      </w:r>
      <w:r w:rsidR="00D1485C" w:rsidRPr="00D32A8B">
        <w:t xml:space="preserve"> individual</w:t>
      </w:r>
      <w:r w:rsidR="00970D91" w:rsidRPr="00D32A8B">
        <w:t>’s</w:t>
      </w:r>
      <w:r w:rsidR="00D1485C" w:rsidRPr="00D32A8B">
        <w:t xml:space="preserve"> need (</w:t>
      </w:r>
      <w:r w:rsidR="00792B4C" w:rsidRPr="00D32A8B">
        <w:t>Bull, 2017</w:t>
      </w:r>
      <w:r w:rsidR="00D1485C" w:rsidRPr="00D32A8B">
        <w:t>). Structuring of care for children with this disorder has been determined by the American Academy of Pediatrics in their publication of 2011 “</w:t>
      </w:r>
      <w:r w:rsidR="00D1485C" w:rsidRPr="00D32A8B">
        <w:rPr>
          <w:i/>
        </w:rPr>
        <w:t>Health Supervision for Children with Down syndrome</w:t>
      </w:r>
      <w:r w:rsidR="00D1485C" w:rsidRPr="00D32A8B">
        <w:t>” as helping the pediatricians to provide longitudinal care for these affected children and their families in their medical home (</w:t>
      </w:r>
      <w:r w:rsidR="00792B4C" w:rsidRPr="00D32A8B">
        <w:t>Bull, 2017</w:t>
      </w:r>
      <w:r w:rsidR="00D1485C" w:rsidRPr="00D32A8B">
        <w:t xml:space="preserve">). The value of this systematic care and the importance of continuing surveillance </w:t>
      </w:r>
      <w:r w:rsidR="00077FC8" w:rsidRPr="00D32A8B">
        <w:t>are</w:t>
      </w:r>
      <w:r w:rsidR="00D1485C" w:rsidRPr="00D32A8B">
        <w:t xml:space="preserve"> demonstrated by the </w:t>
      </w:r>
      <w:r w:rsidR="00665065" w:rsidRPr="00D32A8B">
        <w:t>fact that they are most contributing factors that help in improving the health and other outcomes for children with Down syndrome (</w:t>
      </w:r>
      <w:r w:rsidR="00792B4C" w:rsidRPr="00D32A8B">
        <w:t>Bull, 2017</w:t>
      </w:r>
      <w:r w:rsidR="00665065" w:rsidRPr="00D32A8B">
        <w:t xml:space="preserve">). </w:t>
      </w:r>
    </w:p>
    <w:p w:rsidR="00665065" w:rsidRPr="00D32A8B" w:rsidRDefault="00665065" w:rsidP="00D32A8B">
      <w:pPr>
        <w:spacing w:line="480" w:lineRule="auto"/>
        <w:ind w:firstLine="720"/>
      </w:pPr>
      <w:r w:rsidRPr="00D32A8B">
        <w:t>For children with Down syndrome who are being educated within mainstream settings, research suggests that an inclusive learning environment with early intervention is of specific importance in helping to support the child’s educational needs such as the use of portage (</w:t>
      </w:r>
      <w:r w:rsidR="006B43A3" w:rsidRPr="00D32A8B">
        <w:t>Kendall, 2017</w:t>
      </w:r>
      <w:r w:rsidRPr="00D32A8B">
        <w:t>). The only limitation to this kind of support is as is posed by the limited access to these services within mainstream educational setup which are specifically implemented to create an inclusive learning environment for these children with Down syndrome (</w:t>
      </w:r>
      <w:r w:rsidR="006B43A3" w:rsidRPr="00D32A8B">
        <w:t>Kendall, 2017</w:t>
      </w:r>
      <w:r w:rsidRPr="00D32A8B">
        <w:t>). The limited access to the value and the guidelines on how to implement such programs is also witnessed across authorities where it is depicted as varying significantly across authorities</w:t>
      </w:r>
      <w:r w:rsidR="00970D91" w:rsidRPr="00D32A8B">
        <w:t xml:space="preserve"> </w:t>
      </w:r>
      <w:r w:rsidR="00970D91" w:rsidRPr="00D32A8B">
        <w:lastRenderedPageBreak/>
        <w:t>(</w:t>
      </w:r>
      <w:r w:rsidR="006B43A3" w:rsidRPr="00D32A8B">
        <w:t>Kendall, 2017</w:t>
      </w:r>
      <w:r w:rsidR="00970D91" w:rsidRPr="00D32A8B">
        <w:t>)</w:t>
      </w:r>
      <w:r w:rsidRPr="00D32A8B">
        <w:t>.</w:t>
      </w:r>
      <w:r w:rsidR="00970D91" w:rsidRPr="00D32A8B">
        <w:t xml:space="preserve"> In addition, the implementation and upholding of such programs is also limited by the issues around Education, Health Care Plan, and subsequent annual reviews which do not capture comprehensively the importance or the value of such programs and services within mainstream</w:t>
      </w:r>
      <w:r w:rsidRPr="00D32A8B">
        <w:t xml:space="preserve"> </w:t>
      </w:r>
      <w:r w:rsidR="00970D91" w:rsidRPr="00D32A8B">
        <w:t>educational settings (</w:t>
      </w:r>
      <w:r w:rsidR="006B43A3" w:rsidRPr="00D32A8B">
        <w:t>Kendall, 2017</w:t>
      </w:r>
      <w:r w:rsidR="00970D91" w:rsidRPr="00D32A8B">
        <w:t>). Overall, the suggested inclusive services include inclusive practices in the areas of supporting language and communication needs, parental partnership, and transition between educational phases for children with Down syndrome (</w:t>
      </w:r>
      <w:r w:rsidR="006B43A3" w:rsidRPr="00D32A8B">
        <w:t>Kendall, 2017</w:t>
      </w:r>
      <w:r w:rsidR="00970D91" w:rsidRPr="00D32A8B">
        <w:t xml:space="preserve">). </w:t>
      </w:r>
    </w:p>
    <w:p w:rsidR="00970D91" w:rsidRPr="00D32A8B" w:rsidRDefault="00970D91" w:rsidP="00D32A8B">
      <w:pPr>
        <w:spacing w:line="480" w:lineRule="auto"/>
        <w:ind w:firstLine="720"/>
      </w:pPr>
      <w:r w:rsidRPr="00D32A8B">
        <w:t>Lastly, in line with incorporating inclusive practices within mainstream educational settings, it has been determined that it is the role of the teaching assistants to establish meaningful and inclusive learning environments that supports teaching and support for overall children with Special Education Needs and Disabilities</w:t>
      </w:r>
      <w:r w:rsidR="00F4673F" w:rsidRPr="00D32A8B">
        <w:t xml:space="preserve"> (SEND)</w:t>
      </w:r>
      <w:r w:rsidRPr="00D32A8B">
        <w:t xml:space="preserve"> (</w:t>
      </w:r>
      <w:r w:rsidR="0050340A" w:rsidRPr="00D32A8B">
        <w:t>Webster &amp; Blatchford, 2018</w:t>
      </w:r>
      <w:r w:rsidRPr="00D32A8B">
        <w:t>). This is in addition to supporting the need for differentiation within the learning environment where</w:t>
      </w:r>
      <w:r w:rsidR="00F4673F" w:rsidRPr="00D32A8B">
        <w:t xml:space="preserve"> approaches to, and expressions of, inclusive practices are adhered to in helping to direct the learning process of the child with SEND in addition to ensuring that they are appropriate to the individual child’s need (</w:t>
      </w:r>
      <w:r w:rsidR="0050340A" w:rsidRPr="00D32A8B">
        <w:t>Webster &amp; Blatchford, 2018</w:t>
      </w:r>
      <w:r w:rsidR="00F4673F" w:rsidRPr="00D32A8B">
        <w:t>).</w:t>
      </w:r>
    </w:p>
    <w:p w:rsidR="00F4673F" w:rsidRPr="00D32A8B" w:rsidRDefault="00F4673F" w:rsidP="00D32A8B">
      <w:pPr>
        <w:spacing w:line="480" w:lineRule="auto"/>
        <w:ind w:firstLine="720"/>
      </w:pPr>
      <w:r w:rsidRPr="00D32A8B">
        <w:t xml:space="preserve">In conclusion, Down syndrome is the most common congenital disorder that is caused by the tripling in the copy numbers of whole or part of chromosome 21. The signs of the disease are usually present at birth and they include characteristic facial features, intellectual disability, and physical growth and development </w:t>
      </w:r>
      <w:r w:rsidR="006B43A3" w:rsidRPr="00D32A8B">
        <w:t>delays. The</w:t>
      </w:r>
      <w:r w:rsidRPr="00D32A8B">
        <w:t xml:space="preserve"> intellectual </w:t>
      </w:r>
      <w:r w:rsidR="006B43A3" w:rsidRPr="00D32A8B">
        <w:t>disabilities</w:t>
      </w:r>
      <w:r w:rsidRPr="00D32A8B">
        <w:t xml:space="preserve"> </w:t>
      </w:r>
      <w:r w:rsidR="006B43A3" w:rsidRPr="00D32A8B">
        <w:t>that are</w:t>
      </w:r>
      <w:r w:rsidRPr="00D32A8B">
        <w:t xml:space="preserve"> characteristic for children with DS</w:t>
      </w:r>
      <w:r w:rsidR="006B43A3" w:rsidRPr="00D32A8B">
        <w:t xml:space="preserve"> include</w:t>
      </w:r>
      <w:r w:rsidRPr="00D32A8B">
        <w:t xml:space="preserve"> disabilities in learning, decision-making, and memory. These are actualized by way of the many gene groups within chromosome 21 working cumulatively to produce defects within the signaling processes in the hippocampus and those between the hippocampus and the prefrontal cortex thus giving rise to the observable intellectual disabilities. </w:t>
      </w:r>
      <w:r w:rsidRPr="00D32A8B">
        <w:lastRenderedPageBreak/>
        <w:t>Of importance in caring for these children with DS, there is need to structure their care through application of systematic care that is tailored to their individual needs and continued surveillance</w:t>
      </w:r>
      <w:r w:rsidR="0050340A" w:rsidRPr="00D32A8B">
        <w:t xml:space="preserve"> in a bid to improve their health outcomes. In addition, where their learning needs are concerned, the mainstream educational settings are encouraged to uphold inclusive practices within their system so that they offer an inclusive environment for all children with SEND. </w:t>
      </w:r>
    </w:p>
    <w:p w:rsidR="00D32A8B" w:rsidRDefault="00D32A8B">
      <w:r>
        <w:br w:type="page"/>
      </w:r>
    </w:p>
    <w:p w:rsidR="0050340A" w:rsidRPr="005A4E57" w:rsidRDefault="0050340A" w:rsidP="00D32A8B">
      <w:pPr>
        <w:spacing w:line="480" w:lineRule="auto"/>
        <w:jc w:val="center"/>
        <w:rPr>
          <w:b/>
        </w:rPr>
      </w:pPr>
      <w:r w:rsidRPr="005A4E57">
        <w:rPr>
          <w:b/>
        </w:rPr>
        <w:lastRenderedPageBreak/>
        <w:t>References</w:t>
      </w:r>
    </w:p>
    <w:p w:rsidR="00792B4C" w:rsidRPr="00D32A8B" w:rsidRDefault="00792B4C" w:rsidP="00D32A8B">
      <w:pPr>
        <w:spacing w:line="480" w:lineRule="auto"/>
        <w:ind w:left="720" w:hanging="720"/>
      </w:pPr>
      <w:r w:rsidRPr="00D32A8B">
        <w:t xml:space="preserve">Bull, J. M. (2018). </w:t>
      </w:r>
      <w:proofErr w:type="gramStart"/>
      <w:r w:rsidRPr="00D32A8B">
        <w:t>Improvement of Outcomes for Children with Down syndrome.</w:t>
      </w:r>
      <w:proofErr w:type="gramEnd"/>
      <w:r w:rsidRPr="00D32A8B">
        <w:t xml:space="preserve"> </w:t>
      </w:r>
      <w:r w:rsidRPr="00D32A8B">
        <w:rPr>
          <w:i/>
        </w:rPr>
        <w:t>The Journal of Pediatrics</w:t>
      </w:r>
      <w:r w:rsidRPr="00D32A8B">
        <w:t>, 193: 9-10</w:t>
      </w:r>
    </w:p>
    <w:p w:rsidR="00077FC8" w:rsidRPr="00D32A8B" w:rsidRDefault="00E82407" w:rsidP="00D32A8B">
      <w:pPr>
        <w:spacing w:line="480" w:lineRule="auto"/>
        <w:ind w:left="720" w:hanging="720"/>
      </w:pPr>
      <w:r w:rsidRPr="00D32A8B">
        <w:t xml:space="preserve">Chang, P., Bush, D., </w:t>
      </w:r>
      <w:proofErr w:type="spellStart"/>
      <w:r w:rsidRPr="00D32A8B">
        <w:t>Schorge</w:t>
      </w:r>
      <w:proofErr w:type="spellEnd"/>
      <w:r w:rsidRPr="00D32A8B">
        <w:t>, S</w:t>
      </w:r>
      <w:r>
        <w:t xml:space="preserve">., Good, M., </w:t>
      </w:r>
      <w:proofErr w:type="spellStart"/>
      <w:r>
        <w:t>Canonica</w:t>
      </w:r>
      <w:proofErr w:type="spellEnd"/>
      <w:r>
        <w:t xml:space="preserve">, T., </w:t>
      </w:r>
      <w:proofErr w:type="spellStart"/>
      <w:r>
        <w:t>Shing</w:t>
      </w:r>
      <w:proofErr w:type="spellEnd"/>
      <w:r w:rsidRPr="00D32A8B">
        <w:t xml:space="preserve">, N., </w:t>
      </w:r>
      <w:proofErr w:type="spellStart"/>
      <w:r w:rsidRPr="00D32A8B">
        <w:t>Noy</w:t>
      </w:r>
      <w:proofErr w:type="spellEnd"/>
      <w:r w:rsidRPr="00D32A8B">
        <w:t xml:space="preserve">, S., Wiseman, K. F., Burgess, N., </w:t>
      </w:r>
      <w:proofErr w:type="spellStart"/>
      <w:r w:rsidRPr="00D32A8B">
        <w:t>Tybulewicz</w:t>
      </w:r>
      <w:proofErr w:type="spellEnd"/>
      <w:r w:rsidRPr="00D32A8B">
        <w:t>, T. L. V., Walker, C</w:t>
      </w:r>
      <w:bookmarkStart w:id="0" w:name="_GoBack"/>
      <w:bookmarkEnd w:id="0"/>
      <w:r w:rsidRPr="00D32A8B">
        <w:t xml:space="preserve">. M., &amp; Fisher, M. C. E. (2020). </w:t>
      </w:r>
      <w:proofErr w:type="gramStart"/>
      <w:r w:rsidR="00077FC8" w:rsidRPr="00D32A8B">
        <w:t xml:space="preserve">Altered Hippocampus-Prefrontal Neural Dynamics in Mouse Models of Down </w:t>
      </w:r>
      <w:r w:rsidRPr="00D32A8B">
        <w:t>syndrome</w:t>
      </w:r>
      <w:r w:rsidR="00077FC8" w:rsidRPr="00D32A8B">
        <w:t>.</w:t>
      </w:r>
      <w:proofErr w:type="gramEnd"/>
      <w:r w:rsidR="00077FC8" w:rsidRPr="00D32A8B">
        <w:t xml:space="preserve"> </w:t>
      </w:r>
      <w:r w:rsidR="00077FC8" w:rsidRPr="00D32A8B">
        <w:rPr>
          <w:i/>
        </w:rPr>
        <w:t>Cell Reports</w:t>
      </w:r>
      <w:r w:rsidR="00077FC8" w:rsidRPr="00D32A8B">
        <w:t>, 30(4): 1152-1163</w:t>
      </w:r>
    </w:p>
    <w:p w:rsidR="006B43A3" w:rsidRPr="00D32A8B" w:rsidRDefault="006B43A3" w:rsidP="00D32A8B">
      <w:pPr>
        <w:spacing w:line="480" w:lineRule="auto"/>
        <w:ind w:left="720" w:hanging="720"/>
      </w:pPr>
      <w:r w:rsidRPr="00D32A8B">
        <w:t xml:space="preserve">Kendall, L. (2017). </w:t>
      </w:r>
      <w:proofErr w:type="gramStart"/>
      <w:r w:rsidRPr="00D32A8B">
        <w:t>Supporting children with Down syndrome within mainstream education settings: Parental reflections.</w:t>
      </w:r>
      <w:proofErr w:type="gramEnd"/>
      <w:r w:rsidRPr="00D32A8B">
        <w:t xml:space="preserve"> </w:t>
      </w:r>
      <w:r w:rsidRPr="00D32A8B">
        <w:rPr>
          <w:i/>
        </w:rPr>
        <w:t>International Journal of Primary, Elementary and Early Years Education</w:t>
      </w:r>
      <w:r w:rsidRPr="00D32A8B">
        <w:t>, 47(2): 135-147</w:t>
      </w:r>
    </w:p>
    <w:p w:rsidR="0050340A" w:rsidRPr="00D32A8B" w:rsidRDefault="0050340A" w:rsidP="00D32A8B">
      <w:pPr>
        <w:spacing w:line="480" w:lineRule="auto"/>
        <w:ind w:left="720" w:hanging="720"/>
      </w:pPr>
      <w:proofErr w:type="gramStart"/>
      <w:r w:rsidRPr="00D32A8B">
        <w:t>Webster, R. &amp; Blatchford, P. (2018).</w:t>
      </w:r>
      <w:proofErr w:type="gramEnd"/>
      <w:r w:rsidRPr="00D32A8B">
        <w:t xml:space="preserve"> Making sense of ‘teaching’, ‘support’ and ‘differentiation’: the educational experiences of pupils with Education, Health and Care Plans, and Statements in Mainstream secondary schools. </w:t>
      </w:r>
      <w:r w:rsidRPr="00D32A8B">
        <w:rPr>
          <w:i/>
        </w:rPr>
        <w:t>European Journal of Special Needs Education</w:t>
      </w:r>
      <w:r w:rsidRPr="00D32A8B">
        <w:t>, 34(1): 98-113</w:t>
      </w:r>
    </w:p>
    <w:sectPr w:rsidR="0050340A" w:rsidRPr="00D32A8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B32" w:rsidRDefault="009D4B32" w:rsidP="00D32A8B">
      <w:pPr>
        <w:spacing w:after="0" w:line="240" w:lineRule="auto"/>
      </w:pPr>
      <w:r>
        <w:separator/>
      </w:r>
    </w:p>
  </w:endnote>
  <w:endnote w:type="continuationSeparator" w:id="0">
    <w:p w:rsidR="009D4B32" w:rsidRDefault="009D4B32" w:rsidP="00D32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B32" w:rsidRDefault="009D4B32" w:rsidP="00D32A8B">
      <w:pPr>
        <w:spacing w:after="0" w:line="240" w:lineRule="auto"/>
      </w:pPr>
      <w:r>
        <w:separator/>
      </w:r>
    </w:p>
  </w:footnote>
  <w:footnote w:type="continuationSeparator" w:id="0">
    <w:p w:rsidR="009D4B32" w:rsidRDefault="009D4B32" w:rsidP="00D32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813211"/>
      <w:docPartObj>
        <w:docPartGallery w:val="Page Numbers (Top of Page)"/>
        <w:docPartUnique/>
      </w:docPartObj>
    </w:sdtPr>
    <w:sdtEndPr>
      <w:rPr>
        <w:noProof/>
      </w:rPr>
    </w:sdtEndPr>
    <w:sdtContent>
      <w:p w:rsidR="00D32A8B" w:rsidRDefault="00D32A8B">
        <w:pPr>
          <w:pStyle w:val="Header"/>
          <w:jc w:val="right"/>
        </w:pPr>
        <w:r>
          <w:fldChar w:fldCharType="begin"/>
        </w:r>
        <w:r>
          <w:instrText xml:space="preserve"> PAGE   \* MERGEFORMAT </w:instrText>
        </w:r>
        <w:r>
          <w:fldChar w:fldCharType="separate"/>
        </w:r>
        <w:r w:rsidR="005A4E57">
          <w:rPr>
            <w:noProof/>
          </w:rPr>
          <w:t>7</w:t>
        </w:r>
        <w:r>
          <w:rPr>
            <w:noProof/>
          </w:rPr>
          <w:fldChar w:fldCharType="end"/>
        </w:r>
      </w:p>
    </w:sdtContent>
  </w:sdt>
  <w:p w:rsidR="00D32A8B" w:rsidRDefault="00D32A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E09"/>
    <w:rsid w:val="00077FC8"/>
    <w:rsid w:val="000E6E09"/>
    <w:rsid w:val="00157195"/>
    <w:rsid w:val="001A4FEF"/>
    <w:rsid w:val="004A4704"/>
    <w:rsid w:val="0050340A"/>
    <w:rsid w:val="00556ECC"/>
    <w:rsid w:val="005A4E57"/>
    <w:rsid w:val="00665065"/>
    <w:rsid w:val="006B43A3"/>
    <w:rsid w:val="00763A02"/>
    <w:rsid w:val="00792B4C"/>
    <w:rsid w:val="007A51A5"/>
    <w:rsid w:val="008C1D22"/>
    <w:rsid w:val="00970D91"/>
    <w:rsid w:val="009D4B32"/>
    <w:rsid w:val="00A735D6"/>
    <w:rsid w:val="00B13601"/>
    <w:rsid w:val="00B66A78"/>
    <w:rsid w:val="00BD0814"/>
    <w:rsid w:val="00D1485C"/>
    <w:rsid w:val="00D32A8B"/>
    <w:rsid w:val="00E82407"/>
    <w:rsid w:val="00F46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8B"/>
  </w:style>
  <w:style w:type="paragraph" w:styleId="Footer">
    <w:name w:val="footer"/>
    <w:basedOn w:val="Normal"/>
    <w:link w:val="FooterChar"/>
    <w:uiPriority w:val="99"/>
    <w:unhideWhenUsed/>
    <w:rsid w:val="00D32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8B"/>
  </w:style>
  <w:style w:type="paragraph" w:styleId="Footer">
    <w:name w:val="footer"/>
    <w:basedOn w:val="Normal"/>
    <w:link w:val="FooterChar"/>
    <w:uiPriority w:val="99"/>
    <w:unhideWhenUsed/>
    <w:rsid w:val="00D32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964</TotalTime>
  <Pages>7</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2020-05-16T15:38:00Z</dcterms:created>
  <dcterms:modified xsi:type="dcterms:W3CDTF">2020-05-17T09:52:00Z</dcterms:modified>
</cp:coreProperties>
</file>